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bookmarkStart w:id="0" w:name="_GoBack"/>
      <w:bookmarkEnd w:id="0"/>
      <w:r w:rsidRPr="00261F28">
        <w:rPr>
          <w:bCs/>
          <w:sz w:val="30"/>
          <w:szCs w:val="30"/>
        </w:rPr>
        <w:t xml:space="preserve"> г.)</w:t>
      </w:r>
    </w:p>
    <w:p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</w:p>
    <w:p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</w:t>
      </w:r>
      <w:proofErr w:type="spellStart"/>
      <w:r>
        <w:rPr>
          <w:rFonts w:cs="Times New Roman"/>
          <w:bCs/>
          <w:sz w:val="30"/>
          <w:szCs w:val="30"/>
        </w:rPr>
        <w:t>собранияРеспублики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proofErr w:type="spellStart"/>
      <w:r>
        <w:rPr>
          <w:rFonts w:cs="Times New Roman"/>
          <w:bCs/>
          <w:sz w:val="30"/>
          <w:szCs w:val="30"/>
        </w:rPr>
        <w:t>Беларусь</w:t>
      </w:r>
      <w:r w:rsidRPr="00442448">
        <w:rPr>
          <w:rFonts w:cs="Times New Roman"/>
          <w:bCs/>
          <w:sz w:val="30"/>
          <w:szCs w:val="30"/>
        </w:rPr>
        <w:t>КочановойН</w:t>
      </w:r>
      <w:r>
        <w:rPr>
          <w:rFonts w:cs="Times New Roman"/>
          <w:bCs/>
          <w:sz w:val="30"/>
          <w:szCs w:val="30"/>
        </w:rPr>
        <w:t>.И</w:t>
      </w:r>
      <w:proofErr w:type="spellEnd"/>
      <w:r>
        <w:rPr>
          <w:rFonts w:cs="Times New Roman"/>
          <w:bCs/>
          <w:sz w:val="30"/>
          <w:szCs w:val="30"/>
        </w:rPr>
        <w:t xml:space="preserve">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lastRenderedPageBreak/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lastRenderedPageBreak/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Pr="00CB16C0">
        <w:rPr>
          <w:rFonts w:cs="Times New Roman"/>
          <w:b/>
          <w:bCs/>
          <w:sz w:val="30"/>
          <w:szCs w:val="30"/>
        </w:rPr>
        <w:t>мерпо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КАМПАНИЯ2024</w:t>
      </w:r>
      <w:r>
        <w:rPr>
          <w:rFonts w:cs="Times New Roman"/>
          <w:b/>
          <w:sz w:val="30"/>
          <w:szCs w:val="30"/>
        </w:rPr>
        <w:t xml:space="preserve"> ГОДА</w:t>
      </w:r>
    </w:p>
    <w:p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proofErr w:type="spellStart"/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Pr="002333DF">
        <w:rPr>
          <w:rFonts w:cs="Times New Roman"/>
          <w:i/>
          <w:szCs w:val="28"/>
        </w:rPr>
        <w:t>ПиС</w:t>
      </w:r>
      <w:r w:rsidR="00132DB6" w:rsidRPr="002333DF">
        <w:rPr>
          <w:rFonts w:cs="Times New Roman"/>
          <w:i/>
          <w:szCs w:val="28"/>
        </w:rPr>
        <w:t>обошла</w:t>
      </w:r>
      <w:proofErr w:type="spellEnd"/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lastRenderedPageBreak/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677670" w:rsidRPr="00677670">
        <w:rPr>
          <w:b/>
          <w:bCs/>
          <w:sz w:val="30"/>
          <w:szCs w:val="30"/>
        </w:rPr>
        <w:t>25 февраля 2024 г.</w:t>
      </w:r>
    </w:p>
    <w:p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</w:p>
    <w:p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</w:p>
    <w:p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</w:t>
      </w:r>
      <w:r w:rsidRPr="00BE72F1">
        <w:rPr>
          <w:sz w:val="30"/>
          <w:szCs w:val="30"/>
        </w:rPr>
        <w:lastRenderedPageBreak/>
        <w:t xml:space="preserve">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 xml:space="preserve">ПРОВЕДЕНИЕ ИЗБИРАТЕЛЬНОЙ КАМПАНИИ 2024 ГОДА </w:t>
      </w:r>
    </w:p>
    <w:p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lastRenderedPageBreak/>
        <w:t>13 депутатов Палаты представителей Национального собрания Республики Беларусь;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31 депутата Гродненского городского Совета депутатов;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 xml:space="preserve">С 9 февраля 2024 года начинается дежурство в участковых избирательных комиссиях, где граждане могут уточнить информацию о </w:t>
      </w:r>
      <w:r w:rsidRPr="002B77BA">
        <w:rPr>
          <w:sz w:val="30"/>
          <w:szCs w:val="30"/>
        </w:rPr>
        <w:lastRenderedPageBreak/>
        <w:t>включении их в списки избирателей.</w:t>
      </w:r>
    </w:p>
    <w:p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04" w:rsidRDefault="00241104" w:rsidP="008D6350">
      <w:pPr>
        <w:spacing w:after="0" w:line="240" w:lineRule="auto"/>
      </w:pPr>
      <w:r>
        <w:separator/>
      </w:r>
    </w:p>
  </w:endnote>
  <w:endnote w:type="continuationSeparator" w:id="1">
    <w:p w:rsidR="00241104" w:rsidRDefault="00241104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04" w:rsidRDefault="00241104" w:rsidP="008D6350">
      <w:pPr>
        <w:spacing w:after="0" w:line="240" w:lineRule="auto"/>
      </w:pPr>
      <w:r>
        <w:separator/>
      </w:r>
    </w:p>
  </w:footnote>
  <w:footnote w:type="continuationSeparator" w:id="1">
    <w:p w:rsidR="00241104" w:rsidRDefault="00241104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25532"/>
      <w:docPartObj>
        <w:docPartGallery w:val="Page Numbers (Top of Page)"/>
        <w:docPartUnique/>
      </w:docPartObj>
    </w:sdtPr>
    <w:sdtContent>
      <w:p w:rsidR="00C82935" w:rsidRDefault="00D84E37">
        <w:pPr>
          <w:pStyle w:val="a3"/>
          <w:jc w:val="center"/>
        </w:pPr>
        <w:r>
          <w:fldChar w:fldCharType="begin"/>
        </w:r>
        <w:r w:rsidR="00C82935">
          <w:instrText>PAGE   \* MERGEFORMAT</w:instrText>
        </w:r>
        <w:r>
          <w:fldChar w:fldCharType="separate"/>
        </w:r>
        <w:r w:rsidR="00F55D21">
          <w:rPr>
            <w:noProof/>
          </w:rPr>
          <w:t>2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4E37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55D21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3138</Words>
  <Characters>17890</Characters>
  <Application>Microsoft Office Word</Application>
  <DocSecurity>4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Пользователь Windows</cp:lastModifiedBy>
  <cp:revision>2</cp:revision>
  <cp:lastPrinted>2023-11-21T06:35:00Z</cp:lastPrinted>
  <dcterms:created xsi:type="dcterms:W3CDTF">2024-01-15T09:10:00Z</dcterms:created>
  <dcterms:modified xsi:type="dcterms:W3CDTF">2024-01-15T09:10:00Z</dcterms:modified>
</cp:coreProperties>
</file>